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2.png" ContentType="image/png"/>
  <Override PartName="/word/media/rId34.png" ContentType="image/png"/>
  <Override PartName="/word/media/rId38.png" ContentType="image/png"/>
  <Override PartName="/word/media/rId30.png" ContentType="image/png"/>
  <Override PartName="/word/media/rId42.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r>
        <w:t xml:space="preserve"> </w:t>
      </w:r>
      <w:r>
        <w:t xml:space="preserve">Global</w:t>
      </w:r>
      <w:r>
        <w:t xml:space="preserve"> </w:t>
      </w:r>
      <w:r>
        <w:t xml:space="preserve">plate</w:t>
      </w:r>
      <w:r>
        <w:t xml:space="preserve"> </w:t>
      </w:r>
      <w:r>
        <w:t xml:space="preserve">model</w:t>
      </w:r>
      <w:r>
        <w:t xml:space="preserve"> </w:t>
      </w:r>
      <w:r>
        <w:t xml:space="preserve">choice</w:t>
      </w:r>
      <w:r>
        <w:t xml:space="preserve"> </w:t>
      </w:r>
      <w:r>
        <w:t xml:space="preserve">impacts</w:t>
      </w:r>
      <w:r>
        <w:t xml:space="preserve"> </w:t>
      </w:r>
      <w:r>
        <w:t xml:space="preserve">reconstructions</w:t>
      </w:r>
      <w:r>
        <w:t xml:space="preserve"> </w:t>
      </w:r>
      <w:r>
        <w:t xml:space="preserve">of</w:t>
      </w:r>
      <w:r>
        <w:t xml:space="preserve"> </w:t>
      </w:r>
      <w:r>
        <w:t xml:space="preserve">the</w:t>
      </w:r>
      <w:r>
        <w:t xml:space="preserve"> </w:t>
      </w:r>
      <w:r>
        <w:t xml:space="preserve">latitudinal</w:t>
      </w:r>
      <w:r>
        <w:t xml:space="preserve"> </w:t>
      </w:r>
      <w:r>
        <w:t xml:space="preserve">biodiversity</w:t>
      </w:r>
      <w:r>
        <w:t xml:space="preserve"> </w:t>
      </w:r>
      <w:r>
        <w:t xml:space="preserve">gradient</w:t>
      </w:r>
    </w:p>
    <w:p>
      <w:pPr>
        <w:pStyle w:val="Author"/>
      </w:pPr>
      <w:r>
        <w:t xml:space="preserve">—</w:t>
      </w:r>
    </w:p>
    <w:p>
      <w:pPr>
        <w:pStyle w:val="Author"/>
      </w:pPr>
      <w:r>
        <w:t xml:space="preserve">Lewis</w:t>
      </w:r>
      <w:r>
        <w:t xml:space="preserve"> </w:t>
      </w:r>
      <w:r>
        <w:t xml:space="preserve">A.</w:t>
      </w:r>
      <w:r>
        <w:t xml:space="preserve"> </w:t>
      </w:r>
      <w:r>
        <w:t xml:space="preserve">Jones</w:t>
      </w:r>
      <w:r>
        <w:rPr>
          <w:vertAlign w:val="superscript"/>
        </w:rPr>
        <w:t xml:space="preserve">1</w:t>
      </w:r>
      <w:r>
        <w:t xml:space="preserve">,</w:t>
      </w:r>
      <w:r>
        <w:t xml:space="preserve"> </w:t>
      </w:r>
      <w:r>
        <w:t xml:space="preserve">William</w:t>
      </w:r>
      <w:r>
        <w:t xml:space="preserve"> </w:t>
      </w:r>
      <w:r>
        <w:t xml:space="preserve">Gearty</w:t>
      </w:r>
      <w:r>
        <w:rPr>
          <w:vertAlign w:val="superscript"/>
        </w:rPr>
        <w:t xml:space="preserve">2</w:t>
      </w:r>
      <w:r>
        <w:t xml:space="preserve">,</w:t>
      </w:r>
      <w:r>
        <w:t xml:space="preserve"> </w:t>
      </w:r>
      <w:r>
        <w:t xml:space="preserve">Lucas</w:t>
      </w:r>
      <w:r>
        <w:t xml:space="preserve"> </w:t>
      </w:r>
      <w:r>
        <w:t xml:space="preserve">Buffan</w:t>
      </w:r>
      <w:r>
        <w:rPr>
          <w:vertAlign w:val="superscript"/>
        </w:rPr>
        <w:t xml:space="preserve">3</w:t>
      </w:r>
      <w:r>
        <w:t xml:space="preserve">,</w:t>
      </w:r>
      <w:r>
        <w:t xml:space="preserve"> </w:t>
      </w:r>
      <w:r>
        <w:t xml:space="preserve">and</w:t>
      </w:r>
      <w:r>
        <w:t xml:space="preserve"> </w:t>
      </w:r>
      <w:r>
        <w:t xml:space="preserve">Bethany</w:t>
      </w:r>
      <w:r>
        <w:t xml:space="preserve"> </w:t>
      </w:r>
      <w:r>
        <w:t xml:space="preserve">J.</w:t>
      </w:r>
      <w:r>
        <w:t xml:space="preserve"> </w:t>
      </w:r>
      <w:r>
        <w:t xml:space="preserve">Allen</w:t>
      </w:r>
      <w:r>
        <w:rPr>
          <w:vertAlign w:val="superscript"/>
        </w:rPr>
        <w:t xml:space="preserve">4,5</w:t>
      </w:r>
    </w:p>
    <w:p>
      <w:pPr>
        <w:pStyle w:val="Author"/>
      </w:pPr>
      <w:r>
        <w:t xml:space="preserve">—</w:t>
      </w:r>
    </w:p>
    <w:p>
      <w:pPr>
        <w:pStyle w:val="Author"/>
      </w:pPr>
      <w:r>
        <w:rPr>
          <w:vertAlign w:val="superscript"/>
        </w:rPr>
        <w:t xml:space="preserve">1</w:t>
      </w:r>
      <w:r>
        <w:t xml:space="preserve">Grupo</w:t>
      </w:r>
      <w:r>
        <w:t xml:space="preserve"> </w:t>
      </w:r>
      <w:r>
        <w:t xml:space="preserve">de</w:t>
      </w:r>
      <w:r>
        <w:t xml:space="preserve"> </w:t>
      </w:r>
      <w:r>
        <w:t xml:space="preserve">Ecoloxía</w:t>
      </w:r>
      <w:r>
        <w:t xml:space="preserve"> </w:t>
      </w:r>
      <w:r>
        <w:t xml:space="preserve">Animal,</w:t>
      </w:r>
      <w:r>
        <w:t xml:space="preserve"> </w:t>
      </w:r>
      <w:r>
        <w:t xml:space="preserve">Departamento</w:t>
      </w:r>
      <w:r>
        <w:t xml:space="preserve"> </w:t>
      </w:r>
      <w:r>
        <w:t xml:space="preserve">de</w:t>
      </w:r>
      <w:r>
        <w:t xml:space="preserve"> </w:t>
      </w:r>
      <w:r>
        <w:t xml:space="preserve">Ecoloxía</w:t>
      </w:r>
      <w:r>
        <w:t xml:space="preserve"> </w:t>
      </w:r>
      <w:r>
        <w:t xml:space="preserve">e</w:t>
      </w:r>
      <w:r>
        <w:t xml:space="preserve"> </w:t>
      </w:r>
      <w:r>
        <w:t xml:space="preserve">Bioloxía</w:t>
      </w:r>
      <w:r>
        <w:t xml:space="preserve"> </w:t>
      </w:r>
      <w:r>
        <w:t xml:space="preserve">Animal,</w:t>
      </w:r>
      <w:r>
        <w:t xml:space="preserve"> </w:t>
      </w:r>
      <w:r>
        <w:t xml:space="preserve">Universidade</w:t>
      </w:r>
      <w:r>
        <w:t xml:space="preserve"> </w:t>
      </w:r>
      <w:r>
        <w:t xml:space="preserve">de</w:t>
      </w:r>
      <w:r>
        <w:t xml:space="preserve"> </w:t>
      </w:r>
      <w:r>
        <w:t xml:space="preserve">Vigo,</w:t>
      </w:r>
      <w:r>
        <w:t xml:space="preserve"> </w:t>
      </w:r>
      <w:r>
        <w:t xml:space="preserve">36310</w:t>
      </w:r>
      <w:r>
        <w:t xml:space="preserve"> </w:t>
      </w:r>
      <w:r>
        <w:t xml:space="preserve">Vigo,</w:t>
      </w:r>
      <w:r>
        <w:t xml:space="preserve"> </w:t>
      </w:r>
      <w:r>
        <w:t xml:space="preserve">Spain.</w:t>
      </w:r>
    </w:p>
    <w:p>
      <w:pPr>
        <w:pStyle w:val="Author"/>
      </w:pPr>
      <w:r>
        <w:rPr>
          <w:vertAlign w:val="superscript"/>
        </w:rPr>
        <w:t xml:space="preserve">2</w:t>
      </w:r>
      <w:r>
        <w:t xml:space="preserve">Smithsonian</w:t>
      </w:r>
      <w:r>
        <w:t xml:space="preserve"> </w:t>
      </w:r>
      <w:r>
        <w:t xml:space="preserve">National</w:t>
      </w:r>
      <w:r>
        <w:t xml:space="preserve"> </w:t>
      </w:r>
      <w:r>
        <w:t xml:space="preserve">Museum</w:t>
      </w:r>
      <w:r>
        <w:t xml:space="preserve"> </w:t>
      </w:r>
      <w:r>
        <w:t xml:space="preserve">of</w:t>
      </w:r>
      <w:r>
        <w:t xml:space="preserve"> </w:t>
      </w:r>
      <w:r>
        <w:t xml:space="preserve">Natural</w:t>
      </w:r>
      <w:r>
        <w:t xml:space="preserve"> </w:t>
      </w:r>
      <w:r>
        <w:t xml:space="preserve">History,</w:t>
      </w:r>
      <w:r>
        <w:t xml:space="preserve"> </w:t>
      </w:r>
      <w:r>
        <w:t xml:space="preserve">Department</w:t>
      </w:r>
      <w:r>
        <w:t xml:space="preserve"> </w:t>
      </w:r>
      <w:r>
        <w:t xml:space="preserve">of</w:t>
      </w:r>
      <w:r>
        <w:t xml:space="preserve"> </w:t>
      </w:r>
      <w:r>
        <w:t xml:space="preserve">Paleobiology,</w:t>
      </w:r>
      <w:r>
        <w:t xml:space="preserve"> </w:t>
      </w:r>
      <w:r>
        <w:t xml:space="preserve">Washington,</w:t>
      </w:r>
      <w:r>
        <w:t xml:space="preserve"> </w:t>
      </w:r>
      <w:r>
        <w:t xml:space="preserve">DC,</w:t>
      </w:r>
      <w:r>
        <w:t xml:space="preserve"> </w:t>
      </w:r>
      <w:r>
        <w:t xml:space="preserve">20560,</w:t>
      </w:r>
      <w:r>
        <w:t xml:space="preserve"> </w:t>
      </w:r>
      <w:r>
        <w:t xml:space="preserve">USA</w:t>
      </w:r>
    </w:p>
    <w:p>
      <w:pPr>
        <w:pStyle w:val="Author"/>
      </w:pPr>
      <w:r>
        <w:rPr>
          <w:vertAlign w:val="superscript"/>
        </w:rPr>
        <w:t xml:space="preserve">3</w:t>
      </w:r>
      <w:r>
        <w:t xml:space="preserve">Département</w:t>
      </w:r>
      <w:r>
        <w:t xml:space="preserve"> </w:t>
      </w:r>
      <w:r>
        <w:t xml:space="preserve">de</w:t>
      </w:r>
      <w:r>
        <w:t xml:space="preserve"> </w:t>
      </w:r>
      <w:r>
        <w:t xml:space="preserve">Biologie,</w:t>
      </w:r>
      <w:r>
        <w:t xml:space="preserve"> </w:t>
      </w:r>
      <w:r>
        <w:t xml:space="preserve">École</w:t>
      </w:r>
      <w:r>
        <w:t xml:space="preserve"> </w:t>
      </w:r>
      <w:r>
        <w:t xml:space="preserve">Normale</w:t>
      </w:r>
      <w:r>
        <w:t xml:space="preserve"> </w:t>
      </w:r>
      <w:r>
        <w:t xml:space="preserve">Supérieure</w:t>
      </w:r>
      <w:r>
        <w:t xml:space="preserve"> </w:t>
      </w:r>
      <w:r>
        <w:t xml:space="preserve">de</w:t>
      </w:r>
      <w:r>
        <w:t xml:space="preserve"> </w:t>
      </w:r>
      <w:r>
        <w:t xml:space="preserve">Lyon,</w:t>
      </w:r>
      <w:r>
        <w:t xml:space="preserve"> </w:t>
      </w:r>
      <w:r>
        <w:t xml:space="preserve">Université</w:t>
      </w:r>
      <w:r>
        <w:t xml:space="preserve"> </w:t>
      </w:r>
      <w:r>
        <w:t xml:space="preserve">Claude</w:t>
      </w:r>
      <w:r>
        <w:t xml:space="preserve"> </w:t>
      </w:r>
      <w:r>
        <w:t xml:space="preserve">Bernard</w:t>
      </w:r>
      <w:r>
        <w:t xml:space="preserve"> </w:t>
      </w:r>
      <w:r>
        <w:t xml:space="preserve">Lyon</w:t>
      </w:r>
      <w:r>
        <w:t xml:space="preserve"> </w:t>
      </w:r>
      <w:r>
        <w:t xml:space="preserve">1,</w:t>
      </w:r>
      <w:r>
        <w:t xml:space="preserve"> </w:t>
      </w:r>
      <w:r>
        <w:t xml:space="preserve">69342</w:t>
      </w:r>
      <w:r>
        <w:t xml:space="preserve"> </w:t>
      </w:r>
      <w:r>
        <w:t xml:space="preserve">Lyon</w:t>
      </w:r>
      <w:r>
        <w:t xml:space="preserve"> </w:t>
      </w:r>
      <w:r>
        <w:t xml:space="preserve">Cedex</w:t>
      </w:r>
      <w:r>
        <w:t xml:space="preserve"> </w:t>
      </w:r>
      <w:r>
        <w:t xml:space="preserve">07,</w:t>
      </w:r>
      <w:r>
        <w:t xml:space="preserve"> </w:t>
      </w:r>
      <w:r>
        <w:t xml:space="preserve">France.</w:t>
      </w:r>
    </w:p>
    <w:p>
      <w:pPr>
        <w:pStyle w:val="Author"/>
      </w:pPr>
      <w:r>
        <w:rPr>
          <w:vertAlign w:val="superscript"/>
        </w:rPr>
        <w:t xml:space="preserve">4</w:t>
      </w:r>
      <w:r>
        <w:t xml:space="preserve">Department</w:t>
      </w:r>
      <w:r>
        <w:t xml:space="preserve"> </w:t>
      </w:r>
      <w:r>
        <w:t xml:space="preserve">of</w:t>
      </w:r>
      <w:r>
        <w:t xml:space="preserve"> </w:t>
      </w:r>
      <w:r>
        <w:t xml:space="preserve">Biosystems</w:t>
      </w:r>
      <w:r>
        <w:t xml:space="preserve"> </w:t>
      </w:r>
      <w:r>
        <w:t xml:space="preserve">Science</w:t>
      </w:r>
      <w:r>
        <w:t xml:space="preserve"> </w:t>
      </w:r>
      <w:r>
        <w:t xml:space="preserve">and</w:t>
      </w:r>
      <w:r>
        <w:t xml:space="preserve"> </w:t>
      </w:r>
      <w:r>
        <w:t xml:space="preserve">Engineering,</w:t>
      </w:r>
      <w:r>
        <w:t xml:space="preserve"> </w:t>
      </w:r>
      <w:r>
        <w:t xml:space="preserve">ETH</w:t>
      </w:r>
      <w:r>
        <w:t xml:space="preserve"> </w:t>
      </w:r>
      <w:r>
        <w:t xml:space="preserve">Zürich,</w:t>
      </w:r>
      <w:r>
        <w:t xml:space="preserve"> </w:t>
      </w:r>
      <w:r>
        <w:t xml:space="preserve">4058</w:t>
      </w:r>
      <w:r>
        <w:t xml:space="preserve"> </w:t>
      </w:r>
      <w:r>
        <w:t xml:space="preserve">Basel,</w:t>
      </w:r>
      <w:r>
        <w:t xml:space="preserve"> </w:t>
      </w:r>
      <w:r>
        <w:t xml:space="preserve">Switzerland.</w:t>
      </w:r>
    </w:p>
    <w:p>
      <w:pPr>
        <w:pStyle w:val="Author"/>
      </w:pPr>
      <w:r>
        <w:rPr>
          <w:vertAlign w:val="superscript"/>
        </w:rPr>
        <w:t xml:space="preserve">5</w:t>
      </w:r>
      <w:r>
        <w:t xml:space="preserve">Computational</w:t>
      </w:r>
      <w:r>
        <w:t xml:space="preserve"> </w:t>
      </w:r>
      <w:r>
        <w:t xml:space="preserve">Evolution</w:t>
      </w:r>
      <w:r>
        <w:t xml:space="preserve"> </w:t>
      </w:r>
      <w:r>
        <w:t xml:space="preserve">Group,</w:t>
      </w:r>
      <w:r>
        <w:t xml:space="preserve"> </w:t>
      </w:r>
      <w:r>
        <w:t xml:space="preserve">Swiss</w:t>
      </w:r>
      <w:r>
        <w:t xml:space="preserve"> </w:t>
      </w:r>
      <w:r>
        <w:t xml:space="preserve">Institute</w:t>
      </w:r>
      <w:r>
        <w:t xml:space="preserve"> </w:t>
      </w:r>
      <w:r>
        <w:t xml:space="preserve">of</w:t>
      </w:r>
      <w:r>
        <w:t xml:space="preserve"> </w:t>
      </w:r>
      <w:r>
        <w:t xml:space="preserve">Bioinformatics,</w:t>
      </w:r>
      <w:r>
        <w:t xml:space="preserve"> </w:t>
      </w:r>
      <w:r>
        <w:t xml:space="preserve">1015</w:t>
      </w:r>
      <w:r>
        <w:t xml:space="preserve"> </w:t>
      </w:r>
      <w:r>
        <w:t xml:space="preserve">Lausanne,</w:t>
      </w:r>
      <w:r>
        <w:t xml:space="preserve"> </w:t>
      </w:r>
      <w:r>
        <w:t xml:space="preserve">Switzerland.</w:t>
      </w:r>
    </w:p>
    <w:p>
      <w:pPr>
        <w:pStyle w:val="Author"/>
      </w:pPr>
      <w:r>
        <w:t xml:space="preserve">—</w:t>
      </w:r>
    </w:p>
    <w:p>
      <w:pPr>
        <w:pStyle w:val="Author"/>
      </w:pPr>
      <w:r>
        <w:rPr>
          <w:bCs/>
          <w:b/>
        </w:rPr>
        <w:t xml:space="preserve">Corresponding</w:t>
      </w:r>
      <w:r>
        <w:rPr>
          <w:bCs/>
          <w:b/>
        </w:rPr>
        <w:t xml:space="preserve"> </w:t>
      </w:r>
      <w:r>
        <w:rPr>
          <w:bCs/>
          <w:b/>
        </w:rPr>
        <w:t xml:space="preserve">author:</w:t>
      </w:r>
      <w:r>
        <w:t xml:space="preserve"> </w:t>
      </w:r>
      <w:r>
        <w:t xml:space="preserve">LewisAlan.Jones@uvigo.es</w:t>
      </w:r>
    </w:p>
    <w:bookmarkStart w:id="21" w:name="supplementary-tables"/>
    <w:p>
      <w:pPr>
        <w:pStyle w:val="Heading1"/>
      </w:pPr>
      <w:r>
        <w:t xml:space="preserve">Supplementary tables</w:t>
      </w:r>
    </w:p>
    <w:bookmarkStart w:id="20" w:name="tbl-bins"/>
    <w:p>
      <w:pPr>
        <w:pStyle w:val="TableCaption"/>
      </w:pPr>
      <w:r>
        <w:t xml:space="preserve">Table S 1: Equal-area latitudinal bins used in this study. Bins are generated assumming a regular spheroid Earth model with a mean radius of ~6,371 km.</w:t>
      </w:r>
    </w:p>
    <w:tbl>
      <w:tblPr>
        <w:tblStyle w:val="Table"/>
        <w:tblW w:type="pct" w:w="5100"/>
        <w:tblLook w:firstRow="1" w:lastRow="0" w:firstColumn="0" w:lastColumn="0" w:noHBand="0" w:noVBand="0" w:val="0020"/>
        <w:jc w:val="start"/>
        <w:tblCaption w:val="Table S 1: Equal-area latitudinal bins used in this study. Bins are generated assumming a regular spheroid Earth model with a mean radius of ~6,371 km."/>
      </w:tblPr>
      <w:tblGrid>
        <w:gridCol w:w="1346"/>
        <w:gridCol w:w="1346"/>
        <w:gridCol w:w="1346"/>
        <w:gridCol w:w="1346"/>
        <w:gridCol w:w="1346"/>
        <w:gridCol w:w="1346"/>
      </w:tblGrid>
      <w:tr>
        <w:trPr>
          <w:tblHeader w:val="true"/>
        </w:trPr>
        <w:tc>
          <w:tcPr/>
          <w:p>
            <w:pPr>
              <w:pStyle w:val="Compact"/>
              <w:jc w:val="right"/>
            </w:pPr>
            <w:r>
              <w:t xml:space="preserve">Bin</w:t>
            </w:r>
          </w:p>
        </w:tc>
        <w:tc>
          <w:tcPr/>
          <w:p>
            <w:pPr>
              <w:pStyle w:val="Compact"/>
              <w:jc w:val="right"/>
            </w:pPr>
            <w:r>
              <w:t xml:space="preserve">Maximum</w:t>
            </w:r>
          </w:p>
        </w:tc>
        <w:tc>
          <w:tcPr/>
          <w:p>
            <w:pPr>
              <w:pStyle w:val="Compact"/>
              <w:jc w:val="right"/>
            </w:pPr>
            <w:r>
              <w:t xml:space="preserve">Midpoint</w:t>
            </w:r>
          </w:p>
        </w:tc>
        <w:tc>
          <w:tcPr/>
          <w:p>
            <w:pPr>
              <w:pStyle w:val="Compact"/>
              <w:jc w:val="right"/>
            </w:pPr>
            <w:r>
              <w:t xml:space="preserve">Minimum</w:t>
            </w:r>
          </w:p>
        </w:tc>
        <w:tc>
          <w:tcPr/>
          <w:p>
            <w:pPr>
              <w:pStyle w:val="Compact"/>
              <w:jc w:val="right"/>
            </w:pPr>
            <w:r>
              <w:t xml:space="preserve">Area (m</w:t>
            </w:r>
            <w:r>
              <w:rPr>
                <w:vertAlign w:val="superscript"/>
              </w:rPr>
              <w:t xml:space="preserve">2</w:t>
            </w:r>
            <w:r>
              <w:t xml:space="preserve">)</w:t>
            </w:r>
          </w:p>
        </w:tc>
        <w:tc>
          <w:tcPr/>
          <w:p>
            <w:pPr>
              <w:pStyle w:val="Compact"/>
              <w:jc w:val="right"/>
            </w:pPr>
            <w:r>
              <w:t xml:space="preserve">Proportion of Area</w:t>
            </w:r>
          </w:p>
        </w:tc>
      </w:tr>
      <w:tr>
        <w:tc>
          <w:tcPr/>
          <w:p>
            <w:pPr>
              <w:pStyle w:val="Compact"/>
              <w:jc w:val="right"/>
            </w:pPr>
            <w:r>
              <w:t xml:space="preserve">1</w:t>
            </w:r>
          </w:p>
        </w:tc>
        <w:tc>
          <w:tcPr/>
          <w:p>
            <w:pPr>
              <w:pStyle w:val="Compact"/>
              <w:jc w:val="right"/>
            </w:pPr>
            <w:r>
              <w:t xml:space="preserve">90.00</w:t>
            </w:r>
          </w:p>
        </w:tc>
        <w:tc>
          <w:tcPr/>
          <w:p>
            <w:pPr>
              <w:pStyle w:val="Compact"/>
              <w:jc w:val="right"/>
            </w:pPr>
            <w:r>
              <w:t xml:space="preserve">65.915</w:t>
            </w:r>
          </w:p>
        </w:tc>
        <w:tc>
          <w:tcPr/>
          <w:p>
            <w:pPr>
              <w:pStyle w:val="Compact"/>
              <w:jc w:val="right"/>
            </w:pPr>
            <w:r>
              <w:t xml:space="preserve">41.83</w:t>
            </w:r>
          </w:p>
        </w:tc>
        <w:tc>
          <w:tcPr/>
          <w:p>
            <w:pPr>
              <w:pStyle w:val="Compact"/>
              <w:jc w:val="right"/>
            </w:pPr>
            <w:r>
              <w:t xml:space="preserve">8.49e+13</w:t>
            </w:r>
          </w:p>
        </w:tc>
        <w:tc>
          <w:tcPr/>
          <w:p>
            <w:pPr>
              <w:pStyle w:val="Compact"/>
              <w:jc w:val="right"/>
            </w:pPr>
            <w:r>
              <w:t xml:space="preserve">0.167</w:t>
            </w:r>
          </w:p>
        </w:tc>
      </w:tr>
      <w:tr>
        <w:tc>
          <w:tcPr/>
          <w:p>
            <w:pPr>
              <w:pStyle w:val="Compact"/>
              <w:jc w:val="right"/>
            </w:pPr>
            <w:r>
              <w:t xml:space="preserve">2</w:t>
            </w:r>
          </w:p>
        </w:tc>
        <w:tc>
          <w:tcPr/>
          <w:p>
            <w:pPr>
              <w:pStyle w:val="Compact"/>
              <w:jc w:val="right"/>
            </w:pPr>
            <w:r>
              <w:t xml:space="preserve">41.83</w:t>
            </w:r>
          </w:p>
        </w:tc>
        <w:tc>
          <w:tcPr/>
          <w:p>
            <w:pPr>
              <w:pStyle w:val="Compact"/>
              <w:jc w:val="right"/>
            </w:pPr>
            <w:r>
              <w:t xml:space="preserve">30.655</w:t>
            </w:r>
          </w:p>
        </w:tc>
        <w:tc>
          <w:tcPr/>
          <w:p>
            <w:pPr>
              <w:pStyle w:val="Compact"/>
              <w:jc w:val="right"/>
            </w:pPr>
            <w:r>
              <w:t xml:space="preserve">19.48</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3</w:t>
            </w:r>
          </w:p>
        </w:tc>
        <w:tc>
          <w:tcPr/>
          <w:p>
            <w:pPr>
              <w:pStyle w:val="Compact"/>
              <w:jc w:val="right"/>
            </w:pPr>
            <w:r>
              <w:t xml:space="preserve">19.48</w:t>
            </w:r>
          </w:p>
        </w:tc>
        <w:tc>
          <w:tcPr/>
          <w:p>
            <w:pPr>
              <w:pStyle w:val="Compact"/>
              <w:jc w:val="right"/>
            </w:pPr>
            <w:r>
              <w:t xml:space="preserve">9.740</w:t>
            </w:r>
          </w:p>
        </w:tc>
        <w:tc>
          <w:tcPr/>
          <w:p>
            <w:pPr>
              <w:pStyle w:val="Compact"/>
              <w:jc w:val="right"/>
            </w:pPr>
            <w:r>
              <w:t xml:space="preserve">0.00</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4</w:t>
            </w:r>
          </w:p>
        </w:tc>
        <w:tc>
          <w:tcPr/>
          <w:p>
            <w:pPr>
              <w:pStyle w:val="Compact"/>
              <w:jc w:val="right"/>
            </w:pPr>
            <w:r>
              <w:t xml:space="preserve">0.00</w:t>
            </w:r>
          </w:p>
        </w:tc>
        <w:tc>
          <w:tcPr/>
          <w:p>
            <w:pPr>
              <w:pStyle w:val="Compact"/>
              <w:jc w:val="right"/>
            </w:pPr>
            <w:r>
              <w:t xml:space="preserve">-9.740</w:t>
            </w:r>
          </w:p>
        </w:tc>
        <w:tc>
          <w:tcPr/>
          <w:p>
            <w:pPr>
              <w:pStyle w:val="Compact"/>
              <w:jc w:val="right"/>
            </w:pPr>
            <w:r>
              <w:t xml:space="preserve">-19.48</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5</w:t>
            </w:r>
          </w:p>
        </w:tc>
        <w:tc>
          <w:tcPr/>
          <w:p>
            <w:pPr>
              <w:pStyle w:val="Compact"/>
              <w:jc w:val="right"/>
            </w:pPr>
            <w:r>
              <w:t xml:space="preserve">-19.48</w:t>
            </w:r>
          </w:p>
        </w:tc>
        <w:tc>
          <w:tcPr/>
          <w:p>
            <w:pPr>
              <w:pStyle w:val="Compact"/>
              <w:jc w:val="right"/>
            </w:pPr>
            <w:r>
              <w:t xml:space="preserve">-30.655</w:t>
            </w:r>
          </w:p>
        </w:tc>
        <w:tc>
          <w:tcPr/>
          <w:p>
            <w:pPr>
              <w:pStyle w:val="Compact"/>
              <w:jc w:val="right"/>
            </w:pPr>
            <w:r>
              <w:t xml:space="preserve">-41.83</w:t>
            </w:r>
          </w:p>
        </w:tc>
        <w:tc>
          <w:tcPr/>
          <w:p>
            <w:pPr>
              <w:pStyle w:val="Compact"/>
              <w:jc w:val="right"/>
            </w:pPr>
            <w:r>
              <w:t xml:space="preserve">8.50e+13</w:t>
            </w:r>
          </w:p>
        </w:tc>
        <w:tc>
          <w:tcPr/>
          <w:p>
            <w:pPr>
              <w:pStyle w:val="Compact"/>
              <w:jc w:val="right"/>
            </w:pPr>
            <w:r>
              <w:t xml:space="preserve">0.167</w:t>
            </w:r>
          </w:p>
        </w:tc>
      </w:tr>
      <w:tr>
        <w:tc>
          <w:tcPr/>
          <w:p>
            <w:pPr>
              <w:pStyle w:val="Compact"/>
              <w:jc w:val="right"/>
            </w:pPr>
            <w:r>
              <w:t xml:space="preserve">6</w:t>
            </w:r>
          </w:p>
        </w:tc>
        <w:tc>
          <w:tcPr/>
          <w:p>
            <w:pPr>
              <w:pStyle w:val="Compact"/>
              <w:jc w:val="right"/>
            </w:pPr>
            <w:r>
              <w:t xml:space="preserve">-41.83</w:t>
            </w:r>
          </w:p>
        </w:tc>
        <w:tc>
          <w:tcPr/>
          <w:p>
            <w:pPr>
              <w:pStyle w:val="Compact"/>
              <w:jc w:val="right"/>
            </w:pPr>
            <w:r>
              <w:t xml:space="preserve">-65.915</w:t>
            </w:r>
          </w:p>
        </w:tc>
        <w:tc>
          <w:tcPr/>
          <w:p>
            <w:pPr>
              <w:pStyle w:val="Compact"/>
              <w:jc w:val="right"/>
            </w:pPr>
            <w:r>
              <w:t xml:space="preserve">-90.00</w:t>
            </w:r>
          </w:p>
        </w:tc>
        <w:tc>
          <w:tcPr/>
          <w:p>
            <w:pPr>
              <w:pStyle w:val="Compact"/>
              <w:jc w:val="right"/>
            </w:pPr>
            <w:r>
              <w:t xml:space="preserve">8.49e+13</w:t>
            </w:r>
          </w:p>
        </w:tc>
        <w:tc>
          <w:tcPr/>
          <w:p>
            <w:pPr>
              <w:pStyle w:val="Compact"/>
              <w:jc w:val="right"/>
            </w:pPr>
            <w:r>
              <w:t xml:space="preserve">0.167</w:t>
            </w:r>
          </w:p>
        </w:tc>
      </w:tr>
    </w:tbl>
    <w:bookmarkEnd w:id="20"/>
    <w:bookmarkEnd w:id="21"/>
    <w:bookmarkStart w:id="50" w:name="supplementary-figures"/>
    <w:p>
      <w:pPr>
        <w:pStyle w:val="Heading1"/>
      </w:pPr>
      <w:r>
        <w:t xml:space="preserve">Supplementary figures</w:t>
      </w:r>
    </w:p>
    <w:tbl>
      <w:tblPr>
        <w:tblStyle w:val="Table"/>
        <w:tblW w:type="pct" w:w="5000"/>
        <w:tblLook w:firstRow="0" w:lastRow="0" w:firstColumn="0" w:lastColumn="0" w:noHBand="0" w:noVBand="0" w:val="0000"/>
        <w:jc w:val="start"/>
      </w:tblPr>
      <w:tblGrid>
        <w:gridCol w:w="7920"/>
      </w:tblGrid>
      <w:tr>
        <w:tc>
          <w:tcPr/>
          <w:bookmarkStart w:id="25" w:name="fig-coll-lat"/>
          <w:p>
            <w:pPr>
              <w:jc w:val="center"/>
            </w:pPr>
            <w:r>
              <w:drawing>
                <wp:inline>
                  <wp:extent cx="5646420" cy="6901180"/>
                  <wp:effectExtent b="0" l="0" r="0" t="0"/>
                  <wp:docPr descr="" title="" id="23" name="Picture"/>
                  <a:graphic>
                    <a:graphicData uri="http://schemas.openxmlformats.org/drawingml/2006/picture">
                      <pic:pic>
                        <pic:nvPicPr>
                          <pic:cNvPr descr="../figures/Nb_collections_per_stage.png" id="24" name="Picture"/>
                          <pic:cNvPicPr>
                            <a:picLocks noChangeArrowheads="1" noChangeAspect="1"/>
                          </pic:cNvPicPr>
                        </pic:nvPicPr>
                        <pic:blipFill>
                          <a:blip r:embed="rId22"/>
                          <a:stretch>
                            <a:fillRect/>
                          </a:stretch>
                        </pic:blipFill>
                        <pic:spPr bwMode="auto">
                          <a:xfrm>
                            <a:off x="0" y="0"/>
                            <a:ext cx="5646420" cy="6901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1: Number of fossil collections per palaeolatitudinal bin within each Phanerozoic stage that could be palaeogeographically reconstructed using three Global Plate Models: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Differences in the number of collections within each palaeolatitudinal bin reflects differences between Global Plate Models in their palaeogeographic reconstruction (including spatial coverage).</w:t>
            </w:r>
          </w:p>
          <w:bookmarkEnd w:id="2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9" w:name="fig-gradients-raw"/>
          <w:p>
            <w:pPr>
              <w:jc w:val="center"/>
            </w:pPr>
            <w:r>
              <w:drawing>
                <wp:inline>
                  <wp:extent cx="5646420" cy="6901179"/>
                  <wp:effectExtent b="0" l="0" r="0" t="0"/>
                  <wp:docPr descr="" title="" id="27" name="Picture"/>
                  <a:graphic>
                    <a:graphicData uri="http://schemas.openxmlformats.org/drawingml/2006/picture">
                      <pic:pic>
                        <pic:nvPicPr>
                          <pic:cNvPr descr="../figures/LBGs_raw.png" id="28" name="Picture"/>
                          <pic:cNvPicPr>
                            <a:picLocks noChangeArrowheads="1" noChangeAspect="1"/>
                          </pic:cNvPicPr>
                        </pic:nvPicPr>
                        <pic:blipFill>
                          <a:blip r:embed="rId26"/>
                          <a:stretch>
                            <a:fillRect/>
                          </a:stretch>
                        </pic:blipFill>
                        <pic:spPr bwMode="auto">
                          <a:xfrm>
                            <a:off x="0" y="0"/>
                            <a:ext cx="5646420" cy="6901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2: Phanerozoic stage-level reconstructions of the latitudinal biodiversity gradient for five major marine invertebrate groups (Bivalvia, Brachiopoda, Cephalopoda, Gastropoda, and Trilobita). Each individual plot depicts the raw normalised genus richness within each palaeolatitudinal bin for three Global Plate Models: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Raw genus richness was normalised for each stage and Global Plate Model by dividing the genus counts within each palaeolatitudinal bin by the maximum value across palaeolatitudinal bins.</w:t>
            </w:r>
          </w:p>
          <w:bookmarkEnd w:id="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3" w:name="fig-heat-raw"/>
          <w:p>
            <w:pPr>
              <w:jc w:val="center"/>
            </w:pPr>
            <w:r>
              <w:drawing>
                <wp:inline>
                  <wp:extent cx="5646420" cy="5863590"/>
                  <wp:effectExtent b="0" l="0" r="0" t="0"/>
                  <wp:docPr descr="" title="" id="31" name="Picture"/>
                  <a:graphic>
                    <a:graphicData uri="http://schemas.openxmlformats.org/drawingml/2006/picture">
                      <pic:pic>
                        <pic:nvPicPr>
                          <pic:cNvPr descr="../figures/heatmap_raw.png" id="32" name="Picture"/>
                          <pic:cNvPicPr>
                            <a:picLocks noChangeArrowheads="1" noChangeAspect="1"/>
                          </pic:cNvPicPr>
                        </pic:nvPicPr>
                        <pic:blipFill>
                          <a:blip r:embed="rId30"/>
                          <a:stretch>
                            <a:fillRect/>
                          </a:stretch>
                        </pic:blipFill>
                        <pic:spPr bwMode="auto">
                          <a:xfrm>
                            <a:off x="0" y="0"/>
                            <a:ext cx="5646420" cy="586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3: Phanerozoic heatmaps of raw genus counts for five major marine invertebrate groups (Bivalvia, Brachiopoda, Cephalopoda, Gastropoda, and Trilobita). Each individual panel depicts the normalised genus richness for three Global Plate Models: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Heatmaps depict the normalised raw genus counts within palaeolatitudinal bins (low, middle, and high) within the Northern and Southern Hemisphere. Genus richness was normalised for each stage and Global Plate Model by dividing the genus richness within each palaeolatitudinal bin by the maximum value across palaeolatitudinal bins. Grey tiles indicate palaeolatitudinal bins without sufficient data to generate richness estimates.</w:t>
            </w:r>
          </w:p>
          <w:bookmarkEnd w:id="3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7" w:name="fig-heatdiff-raw"/>
          <w:p>
            <w:pPr>
              <w:jc w:val="center"/>
            </w:pPr>
            <w:r>
              <w:drawing>
                <wp:inline>
                  <wp:extent cx="5646420" cy="5863590"/>
                  <wp:effectExtent b="0" l="0" r="0" t="0"/>
                  <wp:docPr descr="" title="" id="35" name="Picture"/>
                  <a:graphic>
                    <a:graphicData uri="http://schemas.openxmlformats.org/drawingml/2006/picture">
                      <pic:pic>
                        <pic:nvPicPr>
                          <pic:cNvPr descr="../figures/diffs_heatmap_raw.png" id="36" name="Picture"/>
                          <pic:cNvPicPr>
                            <a:picLocks noChangeArrowheads="1" noChangeAspect="1"/>
                          </pic:cNvPicPr>
                        </pic:nvPicPr>
                        <pic:blipFill>
                          <a:blip r:embed="rId34"/>
                          <a:stretch>
                            <a:fillRect/>
                          </a:stretch>
                        </pic:blipFill>
                        <pic:spPr bwMode="auto">
                          <a:xfrm>
                            <a:off x="0" y="0"/>
                            <a:ext cx="5646420" cy="586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4: Phanerozoic heatmaps of the pairwise difference in normalised raw genus richness for three Global Plate Models: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Difference between the normalised raw genus richness within palaeolatitudinal bins for the GOLONKA and MERDITH2021 model (top panel). Difference between the normalised raw genus richness within palaeolatitudinal bins for the PALEOMAP and GOLONKA model (middle panel). Difference between the normalised raw genus richness within palaeolatitudinal bins for the PALEOMAP and MERDITH2021 model (bottom panel). Genus richness was computed for each stage, palaeolatitudinal bin, and model using raw counts. Genus richness was normalised for each stage and Global Plate Model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w:t>
            </w:r>
          </w:p>
          <w:bookmarkEnd w:id="3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1" w:name="fig-heatdiff-sqs"/>
          <w:p>
            <w:pPr>
              <w:jc w:val="center"/>
            </w:pPr>
            <w:r>
              <w:drawing>
                <wp:inline>
                  <wp:extent cx="5646420" cy="5863590"/>
                  <wp:effectExtent b="0" l="0" r="0" t="0"/>
                  <wp:docPr descr="" title="" id="39" name="Picture"/>
                  <a:graphic>
                    <a:graphicData uri="http://schemas.openxmlformats.org/drawingml/2006/picture">
                      <pic:pic>
                        <pic:nvPicPr>
                          <pic:cNvPr descr="../figures/diffs_heatmap_sqs.png" id="40" name="Picture"/>
                          <pic:cNvPicPr>
                            <a:picLocks noChangeArrowheads="1" noChangeAspect="1"/>
                          </pic:cNvPicPr>
                        </pic:nvPicPr>
                        <pic:blipFill>
                          <a:blip r:embed="rId38"/>
                          <a:stretch>
                            <a:fillRect/>
                          </a:stretch>
                        </pic:blipFill>
                        <pic:spPr bwMode="auto">
                          <a:xfrm>
                            <a:off x="0" y="0"/>
                            <a:ext cx="5646420" cy="586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5: Phanerozoic heatmaps of the pairwise difference in normalised estimated (coverage-based rarefaction) genus richness for three Global Plate Models: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Difference between the normalised estimated genus richness within palaeolatitudinal bins for the GOLONKA and MERDITH2021 model (top panel). Difference between the normalised estimated genus richness within palaeolatitudinal bins for the PALEOMAP and GOLONKA model (middle panel). Difference between the normalised estimated genus richness within palaeolatitudinal bins for the PALEOMAP and MERDITH2021 model (bottom panel). Genus richness was estimated for each stage, palaeolatitudinal bin, and model using coverage-based rarefaction using the iNEXT R package ver. 3.0.0</w:t>
            </w:r>
            <w:r>
              <w:t xml:space="preserve"> </w:t>
            </w:r>
            <w:r>
              <w:t xml:space="preserve">[4]</w:t>
            </w:r>
            <w:r>
              <w:t xml:space="preserve"> </w:t>
            </w:r>
            <w:r>
              <w:t xml:space="preserve">with a coverage level (otherwise known as a quorum level) of 0.4. Estimated genus richness was normalised for each stage and Global Plate Model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w:t>
            </w:r>
          </w:p>
          <w:bookmarkEnd w:id="4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5" w:name="fig-maxlat-raw"/>
          <w:p>
            <w:pPr>
              <w:jc w:val="center"/>
            </w:pPr>
            <w:r>
              <w:drawing>
                <wp:inline>
                  <wp:extent cx="5646420" cy="2606040"/>
                  <wp:effectExtent b="0" l="0" r="0" t="0"/>
                  <wp:docPr descr="" title="" id="43" name="Picture"/>
                  <a:graphic>
                    <a:graphicData uri="http://schemas.openxmlformats.org/drawingml/2006/picture">
                      <pic:pic>
                        <pic:nvPicPr>
                          <pic:cNvPr descr="../figures/metric_1_raw.png" id="44" name="Picture"/>
                          <pic:cNvPicPr>
                            <a:picLocks noChangeArrowheads="1" noChangeAspect="1"/>
                          </pic:cNvPicPr>
                        </pic:nvPicPr>
                        <pic:blipFill>
                          <a:blip r:embed="rId42"/>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6: Phanerozoic plot of the palaeolatitudinal bin (low, middle, high) with the greatest raw genus counts within the Northern Hemisphere and Southern Hemisphere for each Global Plate Model: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Grey shading highlights intervals in which the palaeolatitudinal bin with the greatest genus richness is in agreement across the three GPMs.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[5]</w:t>
            </w:r>
            <w:r>
              <w:t xml:space="preserve">.</w:t>
            </w:r>
          </w:p>
          <w:bookmarkEnd w:id="4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 w:name="fig-rank-raw"/>
          <w:p>
            <w:pPr>
              <w:jc w:val="center"/>
            </w:pPr>
            <w:r>
              <w:drawing>
                <wp:inline>
                  <wp:extent cx="5646420" cy="2606040"/>
                  <wp:effectExtent b="0" l="0" r="0" t="0"/>
                  <wp:docPr descr="" title="" id="47" name="Picture"/>
                  <a:graphic>
                    <a:graphicData uri="http://schemas.openxmlformats.org/drawingml/2006/picture">
                      <pic:pic>
                        <pic:nvPicPr>
                          <pic:cNvPr descr="../figures/metric_2_raw.png" id="48" name="Picture"/>
                          <pic:cNvPicPr>
                            <a:picLocks noChangeArrowheads="1" noChangeAspect="1"/>
                          </pic:cNvPicPr>
                        </pic:nvPicPr>
                        <pic:blipFill>
                          <a:blip r:embed="rId46"/>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7: Phanerozoic plot of the normalised average rank order pairwise difference between latitudinal biodiversity gradients (raw genus richness) for each Global Plate Models: GOLONKA</w:t>
            </w:r>
            <w:r>
              <w:t xml:space="preserve"> </w:t>
            </w:r>
            <w:r>
              <w:t xml:space="preserve">[1]</w:t>
            </w:r>
            <w:r>
              <w:t xml:space="preserve">, PALEOMAP</w:t>
            </w:r>
            <w:r>
              <w:t xml:space="preserve"> </w:t>
            </w:r>
            <w:r>
              <w:t xml:space="preserve">[2]</w:t>
            </w:r>
            <w:r>
              <w:t xml:space="preserve">, and MERDITH2021</w:t>
            </w:r>
            <w:r>
              <w:t xml:space="preserve"> </w:t>
            </w:r>
            <w:r>
              <w:t xml:space="preserve">[3]</w:t>
            </w:r>
            <w:r>
              <w:t xml:space="preserve">.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[5]</w:t>
            </w:r>
            <w:r>
              <w:t xml:space="preserve">.</w:t>
            </w:r>
          </w:p>
          <w:bookmarkEnd w:id="49"/>
        </w:tc>
      </w:tr>
    </w:tbl>
    <w:bookmarkEnd w:id="50"/>
    <w:bookmarkStart w:id="61" w:name="references"/>
    <w:p>
      <w:pPr>
        <w:pStyle w:val="Heading1"/>
      </w:pPr>
      <w:r>
        <w:t xml:space="preserve">References</w:t>
      </w:r>
    </w:p>
    <w:bookmarkStart w:id="60" w:name="refs"/>
    <w:bookmarkStart w:id="52" w:name="ref-wright2013"/>
    <w:p>
      <w:pPr>
        <w:pStyle w:val="Bibliography"/>
      </w:pPr>
      <w:r>
        <w:t xml:space="preserve">1.</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Cs/>
          <w:i/>
        </w:rPr>
        <w:t xml:space="preserve">Biogeosciences</w:t>
      </w:r>
      <w:r>
        <w:t xml:space="preserve"> </w:t>
      </w:r>
      <w:r>
        <w:rPr>
          <w:bCs/>
          <w:b/>
        </w:rPr>
        <w:t xml:space="preserve">10</w:t>
      </w:r>
      <w:r>
        <w:t xml:space="preserve">, 1529–1541. (doi:</w:t>
      </w:r>
      <w:hyperlink r:id="rId51">
        <w:r>
          <w:rPr>
            <w:rStyle w:val="Hyperlink"/>
          </w:rPr>
          <w:t xml:space="preserve">10.5194/bg-10-1529-2013</w:t>
        </w:r>
      </w:hyperlink>
      <w:r>
        <w:t xml:space="preserve">)</w:t>
      </w:r>
    </w:p>
    <w:bookmarkEnd w:id="52"/>
    <w:bookmarkStart w:id="54" w:name="ref-scotese2018"/>
    <w:p>
      <w:pPr>
        <w:pStyle w:val="Bibliography"/>
      </w:pPr>
      <w:r>
        <w:t xml:space="preserve">2.</w:t>
      </w:r>
      <w:r>
        <w:t xml:space="preserve"> </w:t>
      </w:r>
      <w:r>
        <w:t xml:space="preserve">	</w:t>
      </w:r>
      <w:r>
        <w:t xml:space="preserve">Scotese C, Wright NM. 2018</w:t>
      </w:r>
      <w:r>
        <w:t xml:space="preserve"> </w:t>
      </w:r>
      <w:hyperlink r:id="rId53">
        <w:r>
          <w:rPr>
            <w:rStyle w:val="Hyperlink"/>
          </w:rPr>
          <w:t xml:space="preserve">PALEOMAP paleodigital elevation models (PaleoDEMs) for the phanerozoic PALEOMAP project</w:t>
        </w:r>
      </w:hyperlink>
      <w:r>
        <w:t xml:space="preserve">.</w:t>
      </w:r>
      <w:r>
        <w:t xml:space="preserve"> </w:t>
      </w:r>
    </w:p>
    <w:bookmarkEnd w:id="54"/>
    <w:bookmarkStart w:id="55" w:name="ref-merdith2021"/>
    <w:p>
      <w:pPr>
        <w:pStyle w:val="Bibliography"/>
      </w:pPr>
      <w:r>
        <w:t xml:space="preserve">3.</w:t>
      </w:r>
      <w:r>
        <w:t xml:space="preserve"> </w:t>
      </w:r>
      <w:r>
        <w:t xml:space="preserve">	</w:t>
      </w:r>
      <w:r>
        <w:t xml:space="preserve">Merdith AS</w:t>
      </w:r>
      <w:r>
        <w:t xml:space="preserve"> </w:t>
      </w:r>
      <w:r>
        <w:rPr>
          <w:iCs/>
          <w:i/>
        </w:rPr>
        <w:t xml:space="preserve">et al.</w:t>
      </w:r>
      <w:r>
        <w:t xml:space="preserve"> 2021 Extending full-plate tectonic models into deep time: Linking the neoproterozoic and the phanerozoic.</w:t>
      </w:r>
      <w:r>
        <w:t xml:space="preserve"> </w:t>
      </w:r>
      <w:r>
        <w:rPr>
          <w:iCs/>
          <w:i/>
        </w:rPr>
        <w:t xml:space="preserve">Earth-Science Reviews</w:t>
      </w:r>
      <w:r>
        <w:t xml:space="preserve"> </w:t>
      </w:r>
      <w:r>
        <w:rPr>
          <w:bCs/>
          <w:b/>
        </w:rPr>
        <w:t xml:space="preserve">214</w:t>
      </w:r>
      <w:r>
        <w:t xml:space="preserve">, 103477.</w:t>
      </w:r>
    </w:p>
    <w:bookmarkEnd w:id="55"/>
    <w:bookmarkStart w:id="57" w:name="ref-hsieh2016"/>
    <w:p>
      <w:pPr>
        <w:pStyle w:val="Bibliography"/>
      </w:pPr>
      <w:r>
        <w:t xml:space="preserve">4.</w:t>
      </w:r>
      <w:r>
        <w:t xml:space="preserve"> </w:t>
      </w:r>
      <w:r>
        <w:t xml:space="preserve">	</w:t>
      </w:r>
      <w:r>
        <w:t xml:space="preserve">Hsieh TC, Ma KH, Chao A. 2016 iNEXT: an R package for rarefaction and extrapolation of species diversity (Hill numbers).</w:t>
      </w:r>
      <w:r>
        <w:t xml:space="preserve"> </w:t>
      </w:r>
      <w:r>
        <w:rPr>
          <w:iCs/>
          <w:i/>
        </w:rPr>
        <w:t xml:space="preserve">Methods in Ecology and Evolution</w:t>
      </w:r>
      <w:r>
        <w:t xml:space="preserve"> </w:t>
      </w:r>
      <w:r>
        <w:rPr>
          <w:bCs/>
          <w:b/>
        </w:rPr>
        <w:t xml:space="preserve">7</w:t>
      </w:r>
      <w:r>
        <w:t xml:space="preserve">, 1451–1456. (doi:</w:t>
      </w:r>
      <w:hyperlink r:id="rId56">
        <w:r>
          <w:rPr>
            <w:rStyle w:val="Hyperlink"/>
          </w:rPr>
          <w:t xml:space="preserve">10.1111/2041-210X.12613</w:t>
        </w:r>
      </w:hyperlink>
      <w:r>
        <w:t xml:space="preserve">)</w:t>
      </w:r>
    </w:p>
    <w:bookmarkEnd w:id="57"/>
    <w:bookmarkStart w:id="59" w:name="ref-deeptime"/>
    <w:p>
      <w:pPr>
        <w:pStyle w:val="Bibliography"/>
      </w:pPr>
      <w:r>
        <w:t xml:space="preserve">5.</w:t>
      </w:r>
      <w:r>
        <w:t xml:space="preserve"> </w:t>
      </w:r>
      <w:r>
        <w:t xml:space="preserve">	</w:t>
      </w:r>
      <w:r>
        <w:t xml:space="preserve">Gearty W. 2023</w:t>
      </w:r>
      <w:r>
        <w:t xml:space="preserve"> </w:t>
      </w:r>
      <w:hyperlink r:id="rId58">
        <w:r>
          <w:rPr>
            <w:rStyle w:val="Hyperlink"/>
          </w:rPr>
          <w:t xml:space="preserve">Deeptime: Plotting tools for anyone working in deep time</w:t>
        </w:r>
      </w:hyperlink>
      <w:r>
        <w:t xml:space="preserve">.</w:t>
      </w:r>
      <w:r>
        <w:t xml:space="preserve"> </w:t>
      </w:r>
      <w:r>
        <w:rPr>
          <w:iCs/>
          <w:i/>
        </w:rPr>
        <w:t xml:space="preserve">R package version 1.0.1</w:t>
      </w:r>
      <w:r>
        <w:t xml:space="preserve"> </w:t>
      </w:r>
    </w:p>
    <w:bookmarkEnd w:id="59"/>
    <w:bookmarkEnd w:id="60"/>
    <w:bookmarkEnd w:id="61"/>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43"/>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hyperlink" Id="rId58" Target="https://cran.r-project.org/web/packages/deeptime" TargetMode="External" /><Relationship Type="http://schemas.openxmlformats.org/officeDocument/2006/relationships/hyperlink" Id="rId56" Target="https://doi.org/10.1111/2041-210X.12613" TargetMode="External" /><Relationship Type="http://schemas.openxmlformats.org/officeDocument/2006/relationships/hyperlink" Id="rId51" Target="https://doi.org/10.5194/bg-10-1529-2013" TargetMode="External" /><Relationship Type="http://schemas.openxmlformats.org/officeDocument/2006/relationships/hyperlink" Id="rId53" Target="https://www.earthbyte.org/paleodem-resource-scotese-and-wright-2018/" TargetMode="External" /></Relationships>
</file>

<file path=word/_rels/footnotes.xml.rels><?xml version="1.0" encoding="UTF-8"?><Relationships xmlns="http://schemas.openxmlformats.org/package/2006/relationships"><Relationship Type="http://schemas.openxmlformats.org/officeDocument/2006/relationships/hyperlink" Id="rId58" Target="https://cran.r-project.org/web/packages/deeptime" TargetMode="External" /><Relationship Type="http://schemas.openxmlformats.org/officeDocument/2006/relationships/hyperlink" Id="rId56" Target="https://doi.org/10.1111/2041-210X.12613" TargetMode="External" /><Relationship Type="http://schemas.openxmlformats.org/officeDocument/2006/relationships/hyperlink" Id="rId51" Target="https://doi.org/10.5194/bg-10-1529-2013" TargetMode="External" /><Relationship Type="http://schemas.openxmlformats.org/officeDocument/2006/relationships/hyperlink" Id="rId53" Target="https://www.earthbyte.org/paleodem-resource-scotese-and-wright-20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Global plate model choice impacts reconstructions of the latitudinal biodiversity gradient</dc:title>
  <dc:creator>—; Lewis A. Jones1, William Gearty2, Lucas Buffan3, and Bethany J. Allen4,5; —; 1Grupo de Ecoloxía Animal, Departamento de Ecoloxía e Bioloxía Animal, Universidade de Vigo, 36310 Vigo, Spain.; 2Smithsonian National Museum of Natural History, Department of Paleobiology, Washington, DC, 20560, USA; 3Département de Biologie, École Normale Supérieure de Lyon, Université Claude Bernard Lyon 1, 69342 Lyon Cedex 07, France.; 4Department of Biosystems Science and Engineering, ETH Zürich, 4058 Basel, Switzerland.; 5Computational Evolution Group, Swiss Institute of Bioinformatics, 1015 Lausanne, Switzerland.; —; Corresponding author: LewisAlan.Jones@uvigo.es</dc:creator>
  <cp:keywords/>
  <dcterms:created xsi:type="dcterms:W3CDTF">2023-12-19T11:36:50Z</dcterms:created>
  <dcterms:modified xsi:type="dcterms:W3CDTF">2023-12-19T11:36:50Z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biology-letters.csl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